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511"/>
        <w:tblW w:w="0" w:type="auto"/>
        <w:tblLook w:val="04A0" w:firstRow="1" w:lastRow="0" w:firstColumn="1" w:lastColumn="0" w:noHBand="0" w:noVBand="1"/>
      </w:tblPr>
      <w:tblGrid>
        <w:gridCol w:w="2785"/>
        <w:gridCol w:w="810"/>
        <w:gridCol w:w="7041"/>
      </w:tblGrid>
      <w:tr w:rsidR="00213E63" w:rsidTr="00213E63">
        <w:trPr>
          <w:trHeight w:val="440"/>
        </w:trPr>
        <w:tc>
          <w:tcPr>
            <w:tcW w:w="2785" w:type="dxa"/>
            <w:shd w:val="clear" w:color="auto" w:fill="A6A6A6" w:themeFill="background1" w:themeFillShade="A6"/>
          </w:tcPr>
          <w:p w:rsidR="00213E63" w:rsidRPr="00755909" w:rsidRDefault="00213E63" w:rsidP="00213E63">
            <w:pPr>
              <w:pStyle w:val="NoSpacing"/>
              <w:jc w:val="center"/>
              <w:rPr>
                <w:b/>
              </w:rPr>
            </w:pPr>
            <w:r>
              <w:rPr>
                <w:b/>
              </w:rPr>
              <w:t>Expanding Civil Rights Under Law</w:t>
            </w:r>
          </w:p>
        </w:tc>
        <w:tc>
          <w:tcPr>
            <w:tcW w:w="810" w:type="dxa"/>
            <w:shd w:val="clear" w:color="auto" w:fill="A6A6A6" w:themeFill="background1" w:themeFillShade="A6"/>
          </w:tcPr>
          <w:p w:rsidR="00213E63" w:rsidRPr="00F308FB" w:rsidRDefault="00213E63" w:rsidP="00213E63">
            <w:pPr>
              <w:pStyle w:val="NoSpacing"/>
              <w:jc w:val="center"/>
              <w:rPr>
                <w:rFonts w:cstheme="minorHAnsi"/>
                <w:b/>
              </w:rPr>
            </w:pPr>
            <w:r w:rsidRPr="00F308FB">
              <w:rPr>
                <w:rFonts w:cstheme="minorHAnsi"/>
                <w:b/>
              </w:rPr>
              <w:t>Year</w:t>
            </w:r>
          </w:p>
        </w:tc>
        <w:tc>
          <w:tcPr>
            <w:tcW w:w="7041" w:type="dxa"/>
            <w:shd w:val="clear" w:color="auto" w:fill="A6A6A6" w:themeFill="background1" w:themeFillShade="A6"/>
          </w:tcPr>
          <w:p w:rsidR="00213E63" w:rsidRPr="00F308FB" w:rsidRDefault="00213E63" w:rsidP="00213E63">
            <w:pPr>
              <w:pStyle w:val="NoSpacing"/>
              <w:jc w:val="center"/>
              <w:rPr>
                <w:rFonts w:cstheme="minorHAnsi"/>
                <w:b/>
              </w:rPr>
            </w:pPr>
            <w:r w:rsidRPr="00F308FB">
              <w:rPr>
                <w:rFonts w:cstheme="minorHAnsi"/>
                <w:b/>
              </w:rPr>
              <w:t>Purpose</w:t>
            </w:r>
          </w:p>
        </w:tc>
      </w:tr>
      <w:tr w:rsidR="00213E63" w:rsidTr="00213E63">
        <w:trPr>
          <w:trHeight w:val="619"/>
        </w:trPr>
        <w:tc>
          <w:tcPr>
            <w:tcW w:w="2785"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13</w:t>
            </w:r>
            <w:r w:rsidRPr="00F308FB">
              <w:rPr>
                <w:rFonts w:cstheme="minorHAnsi"/>
                <w:vertAlign w:val="superscript"/>
              </w:rPr>
              <w:t>th</w:t>
            </w:r>
            <w:r w:rsidRPr="00F308FB">
              <w:rPr>
                <w:rFonts w:cstheme="minorHAnsi"/>
              </w:rPr>
              <w:t xml:space="preserve"> Amendment</w:t>
            </w:r>
          </w:p>
        </w:tc>
        <w:tc>
          <w:tcPr>
            <w:tcW w:w="810"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1865</w:t>
            </w:r>
          </w:p>
        </w:tc>
        <w:tc>
          <w:tcPr>
            <w:tcW w:w="7041"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Abolished slavery in U.S.</w:t>
            </w:r>
          </w:p>
          <w:p w:rsidR="00213E63" w:rsidRPr="00F308FB" w:rsidRDefault="00213E63" w:rsidP="00213E63">
            <w:pPr>
              <w:pStyle w:val="NoSpacing"/>
              <w:rPr>
                <w:rFonts w:cstheme="minorHAnsi"/>
              </w:rPr>
            </w:pPr>
            <w:r w:rsidRPr="00F308FB">
              <w:rPr>
                <w:rFonts w:cstheme="minorHAnsi"/>
              </w:rPr>
              <w:t>FREE</w:t>
            </w:r>
          </w:p>
        </w:tc>
      </w:tr>
      <w:tr w:rsidR="00213E63" w:rsidTr="00213E63">
        <w:trPr>
          <w:trHeight w:val="619"/>
        </w:trPr>
        <w:tc>
          <w:tcPr>
            <w:tcW w:w="2785" w:type="dxa"/>
          </w:tcPr>
          <w:p w:rsidR="00213E63" w:rsidRPr="00F308FB" w:rsidRDefault="00213E63" w:rsidP="00213E63">
            <w:pPr>
              <w:pStyle w:val="NoSpacing"/>
              <w:rPr>
                <w:rFonts w:cstheme="minorHAnsi"/>
              </w:rPr>
            </w:pPr>
            <w:r w:rsidRPr="00F308FB">
              <w:rPr>
                <w:rFonts w:cstheme="minorHAnsi"/>
              </w:rPr>
              <w:t>14</w:t>
            </w:r>
            <w:r w:rsidRPr="00F308FB">
              <w:rPr>
                <w:rFonts w:cstheme="minorHAnsi"/>
                <w:vertAlign w:val="superscript"/>
              </w:rPr>
              <w:t>th</w:t>
            </w:r>
            <w:r w:rsidRPr="00F308FB">
              <w:rPr>
                <w:rFonts w:cstheme="minorHAnsi"/>
              </w:rPr>
              <w:t xml:space="preserve"> Amendment</w:t>
            </w:r>
          </w:p>
        </w:tc>
        <w:tc>
          <w:tcPr>
            <w:tcW w:w="810" w:type="dxa"/>
            <w:shd w:val="clear" w:color="auto" w:fill="FFFFFF" w:themeFill="background1"/>
          </w:tcPr>
          <w:p w:rsidR="00213E63" w:rsidRPr="00F308FB" w:rsidRDefault="00213E63" w:rsidP="00213E63">
            <w:pPr>
              <w:pStyle w:val="NoSpacing"/>
              <w:rPr>
                <w:rFonts w:cstheme="minorHAnsi"/>
              </w:rPr>
            </w:pPr>
            <w:r w:rsidRPr="00F308FB">
              <w:rPr>
                <w:rFonts w:cstheme="minorHAnsi"/>
              </w:rPr>
              <w:t>1867</w:t>
            </w:r>
          </w:p>
        </w:tc>
        <w:tc>
          <w:tcPr>
            <w:tcW w:w="7041" w:type="dxa"/>
          </w:tcPr>
          <w:p w:rsidR="00213E63" w:rsidRPr="00F308FB" w:rsidRDefault="00213E63" w:rsidP="00213E63">
            <w:pPr>
              <w:pStyle w:val="NoSpacing"/>
              <w:rPr>
                <w:rFonts w:cstheme="minorHAnsi"/>
              </w:rPr>
            </w:pPr>
            <w:r w:rsidRPr="00F308FB">
              <w:rPr>
                <w:rFonts w:cstheme="minorHAnsi"/>
              </w:rPr>
              <w:t>Born in U.S.= Citizen = Equal Rights under law</w:t>
            </w:r>
          </w:p>
          <w:p w:rsidR="00213E63" w:rsidRPr="00F308FB" w:rsidRDefault="00213E63" w:rsidP="00213E63">
            <w:pPr>
              <w:pStyle w:val="NoSpacing"/>
              <w:rPr>
                <w:rFonts w:cstheme="minorHAnsi"/>
              </w:rPr>
            </w:pPr>
            <w:r w:rsidRPr="00F308FB">
              <w:rPr>
                <w:rFonts w:cstheme="minorHAnsi"/>
              </w:rPr>
              <w:t>CITIZENS</w:t>
            </w:r>
            <w:bookmarkStart w:id="0" w:name="_GoBack"/>
            <w:bookmarkEnd w:id="0"/>
          </w:p>
        </w:tc>
      </w:tr>
      <w:tr w:rsidR="00213E63" w:rsidTr="00213E63">
        <w:trPr>
          <w:trHeight w:val="619"/>
        </w:trPr>
        <w:tc>
          <w:tcPr>
            <w:tcW w:w="2785"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15</w:t>
            </w:r>
            <w:r w:rsidRPr="00F308FB">
              <w:rPr>
                <w:rFonts w:cstheme="minorHAnsi"/>
                <w:vertAlign w:val="superscript"/>
              </w:rPr>
              <w:t>th</w:t>
            </w:r>
            <w:r w:rsidRPr="00F308FB">
              <w:rPr>
                <w:rFonts w:cstheme="minorHAnsi"/>
              </w:rPr>
              <w:t xml:space="preserve"> Amendment</w:t>
            </w:r>
          </w:p>
        </w:tc>
        <w:tc>
          <w:tcPr>
            <w:tcW w:w="810"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1870</w:t>
            </w:r>
          </w:p>
        </w:tc>
        <w:tc>
          <w:tcPr>
            <w:tcW w:w="7041"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All African American MEN can vote and run for office</w:t>
            </w:r>
          </w:p>
          <w:p w:rsidR="00213E63" w:rsidRPr="00F308FB" w:rsidRDefault="00213E63" w:rsidP="00213E63">
            <w:pPr>
              <w:pStyle w:val="NoSpacing"/>
              <w:rPr>
                <w:rFonts w:cstheme="minorHAnsi"/>
              </w:rPr>
            </w:pPr>
            <w:r w:rsidRPr="00F308FB">
              <w:rPr>
                <w:rFonts w:cstheme="minorHAnsi"/>
              </w:rPr>
              <w:t>VOTE</w:t>
            </w:r>
          </w:p>
        </w:tc>
      </w:tr>
      <w:tr w:rsidR="00213E63" w:rsidTr="00213E63">
        <w:trPr>
          <w:trHeight w:val="619"/>
        </w:trPr>
        <w:tc>
          <w:tcPr>
            <w:tcW w:w="2785" w:type="dxa"/>
          </w:tcPr>
          <w:p w:rsidR="00213E63" w:rsidRPr="00F308FB" w:rsidRDefault="00213E63" w:rsidP="00213E63">
            <w:pPr>
              <w:pStyle w:val="NoSpacing"/>
              <w:rPr>
                <w:rFonts w:cstheme="minorHAnsi"/>
              </w:rPr>
            </w:pPr>
            <w:r w:rsidRPr="00F308FB">
              <w:rPr>
                <w:rFonts w:cstheme="minorHAnsi"/>
              </w:rPr>
              <w:t>19</w:t>
            </w:r>
            <w:r w:rsidRPr="00F308FB">
              <w:rPr>
                <w:rFonts w:cstheme="minorHAnsi"/>
                <w:vertAlign w:val="superscript"/>
              </w:rPr>
              <w:t>th</w:t>
            </w:r>
            <w:r w:rsidRPr="00F308FB">
              <w:rPr>
                <w:rFonts w:cstheme="minorHAnsi"/>
              </w:rPr>
              <w:t xml:space="preserve"> Amendment</w:t>
            </w:r>
          </w:p>
        </w:tc>
        <w:tc>
          <w:tcPr>
            <w:tcW w:w="810" w:type="dxa"/>
            <w:shd w:val="clear" w:color="auto" w:fill="FFFFFF" w:themeFill="background1"/>
          </w:tcPr>
          <w:p w:rsidR="00213E63" w:rsidRPr="00F308FB" w:rsidRDefault="00213E63" w:rsidP="00213E63">
            <w:pPr>
              <w:pStyle w:val="NoSpacing"/>
              <w:rPr>
                <w:rFonts w:cstheme="minorHAnsi"/>
              </w:rPr>
            </w:pPr>
            <w:r w:rsidRPr="00F308FB">
              <w:rPr>
                <w:rFonts w:cstheme="minorHAnsi"/>
              </w:rPr>
              <w:t>1920</w:t>
            </w:r>
          </w:p>
        </w:tc>
        <w:tc>
          <w:tcPr>
            <w:tcW w:w="7041" w:type="dxa"/>
          </w:tcPr>
          <w:p w:rsidR="00213E63" w:rsidRPr="00F308FB" w:rsidRDefault="00213E63" w:rsidP="00213E63">
            <w:pPr>
              <w:pStyle w:val="NoSpacing"/>
              <w:rPr>
                <w:rFonts w:cstheme="minorHAnsi"/>
              </w:rPr>
            </w:pPr>
            <w:r w:rsidRPr="00F308FB">
              <w:rPr>
                <w:rFonts w:cstheme="minorHAnsi"/>
              </w:rPr>
              <w:t xml:space="preserve">Women’s suffrage/franchise </w:t>
            </w:r>
          </w:p>
          <w:p w:rsidR="00213E63" w:rsidRPr="00F308FB" w:rsidRDefault="00213E63" w:rsidP="00213E63">
            <w:pPr>
              <w:pStyle w:val="NoSpacing"/>
              <w:rPr>
                <w:rFonts w:cstheme="minorHAnsi"/>
              </w:rPr>
            </w:pPr>
            <w:r w:rsidRPr="00F308FB">
              <w:rPr>
                <w:rFonts w:cstheme="minorHAnsi"/>
              </w:rPr>
              <w:t>(right to vote)</w:t>
            </w:r>
          </w:p>
        </w:tc>
      </w:tr>
      <w:tr w:rsidR="00213E63" w:rsidTr="00213E63">
        <w:trPr>
          <w:trHeight w:val="440"/>
        </w:trPr>
        <w:tc>
          <w:tcPr>
            <w:tcW w:w="2785"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24</w:t>
            </w:r>
            <w:r w:rsidRPr="00F308FB">
              <w:rPr>
                <w:rFonts w:cstheme="minorHAnsi"/>
                <w:vertAlign w:val="superscript"/>
              </w:rPr>
              <w:t>th</w:t>
            </w:r>
            <w:r w:rsidRPr="00F308FB">
              <w:rPr>
                <w:rFonts w:cstheme="minorHAnsi"/>
              </w:rPr>
              <w:t xml:space="preserve"> Amendment</w:t>
            </w:r>
          </w:p>
        </w:tc>
        <w:tc>
          <w:tcPr>
            <w:tcW w:w="810"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1962</w:t>
            </w:r>
          </w:p>
        </w:tc>
        <w:tc>
          <w:tcPr>
            <w:tcW w:w="7041"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 xml:space="preserve">Poll Taxes Illegal </w:t>
            </w:r>
          </w:p>
        </w:tc>
      </w:tr>
      <w:tr w:rsidR="00213E63" w:rsidTr="00213E63">
        <w:trPr>
          <w:trHeight w:val="619"/>
        </w:trPr>
        <w:tc>
          <w:tcPr>
            <w:tcW w:w="2785" w:type="dxa"/>
          </w:tcPr>
          <w:p w:rsidR="00213E63" w:rsidRPr="00F308FB" w:rsidRDefault="00213E63" w:rsidP="00213E63">
            <w:pPr>
              <w:pStyle w:val="NoSpacing"/>
              <w:rPr>
                <w:rFonts w:cstheme="minorHAnsi"/>
              </w:rPr>
            </w:pPr>
            <w:r w:rsidRPr="00F308FB">
              <w:rPr>
                <w:rFonts w:cstheme="minorHAnsi"/>
              </w:rPr>
              <w:t>Civil Rights Act of 1957</w:t>
            </w:r>
          </w:p>
        </w:tc>
        <w:tc>
          <w:tcPr>
            <w:tcW w:w="810" w:type="dxa"/>
            <w:shd w:val="clear" w:color="auto" w:fill="FFFFFF" w:themeFill="background1"/>
          </w:tcPr>
          <w:p w:rsidR="00213E63" w:rsidRPr="00F308FB" w:rsidRDefault="00213E63" w:rsidP="00213E63">
            <w:pPr>
              <w:pStyle w:val="NoSpacing"/>
              <w:rPr>
                <w:rFonts w:cstheme="minorHAnsi"/>
              </w:rPr>
            </w:pPr>
            <w:r w:rsidRPr="00F308FB">
              <w:rPr>
                <w:rFonts w:cstheme="minorHAnsi"/>
              </w:rPr>
              <w:t>1957</w:t>
            </w:r>
          </w:p>
        </w:tc>
        <w:tc>
          <w:tcPr>
            <w:tcW w:w="7041" w:type="dxa"/>
          </w:tcPr>
          <w:p w:rsidR="00213E63" w:rsidRPr="00F308FB" w:rsidRDefault="00213E63" w:rsidP="00213E63">
            <w:pPr>
              <w:pStyle w:val="NoSpacing"/>
              <w:rPr>
                <w:rFonts w:cstheme="minorHAnsi"/>
              </w:rPr>
            </w:pPr>
            <w:r>
              <w:rPr>
                <w:rFonts w:cstheme="minorHAnsi"/>
              </w:rPr>
              <w:t>Showed federal government support for racial equality, marked the first occasion since Reconstruction that the federal government undertook significant legislative action to protect civil rights</w:t>
            </w:r>
          </w:p>
        </w:tc>
      </w:tr>
      <w:tr w:rsidR="00213E63" w:rsidTr="00213E63">
        <w:trPr>
          <w:trHeight w:val="619"/>
        </w:trPr>
        <w:tc>
          <w:tcPr>
            <w:tcW w:w="2785"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Civil Rights Act of 1964</w:t>
            </w:r>
          </w:p>
          <w:p w:rsidR="00213E63" w:rsidRPr="00F308FB" w:rsidRDefault="00213E63" w:rsidP="00213E63">
            <w:pPr>
              <w:pStyle w:val="NoSpacing"/>
              <w:rPr>
                <w:rFonts w:cstheme="minorHAnsi"/>
              </w:rPr>
            </w:pPr>
          </w:p>
        </w:tc>
        <w:tc>
          <w:tcPr>
            <w:tcW w:w="810"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1964</w:t>
            </w:r>
          </w:p>
        </w:tc>
        <w:tc>
          <w:tcPr>
            <w:tcW w:w="7041" w:type="dxa"/>
            <w:shd w:val="clear" w:color="auto" w:fill="D0CECE" w:themeFill="background2" w:themeFillShade="E6"/>
          </w:tcPr>
          <w:p w:rsidR="00213E63" w:rsidRPr="00F308FB" w:rsidRDefault="00213E63" w:rsidP="00213E63">
            <w:pPr>
              <w:pStyle w:val="NoSpacing"/>
              <w:rPr>
                <w:rFonts w:cstheme="minorHAnsi"/>
              </w:rPr>
            </w:pPr>
            <w:r>
              <w:rPr>
                <w:rFonts w:cstheme="minorHAnsi"/>
              </w:rPr>
              <w:t>Ended segregation in public places and banned employment discrimination on the basis of race, color, religion, sex, or national origin</w:t>
            </w:r>
          </w:p>
        </w:tc>
      </w:tr>
      <w:tr w:rsidR="00213E63" w:rsidTr="00213E63">
        <w:trPr>
          <w:trHeight w:val="619"/>
        </w:trPr>
        <w:tc>
          <w:tcPr>
            <w:tcW w:w="2785" w:type="dxa"/>
          </w:tcPr>
          <w:p w:rsidR="00213E63" w:rsidRPr="00F308FB" w:rsidRDefault="00213E63" w:rsidP="00213E63">
            <w:pPr>
              <w:pStyle w:val="NoSpacing"/>
              <w:rPr>
                <w:rFonts w:cstheme="minorHAnsi"/>
              </w:rPr>
            </w:pPr>
            <w:r w:rsidRPr="00F308FB">
              <w:rPr>
                <w:rFonts w:cstheme="minorHAnsi"/>
              </w:rPr>
              <w:t>Voting Rights Act of 1965</w:t>
            </w:r>
          </w:p>
          <w:p w:rsidR="00213E63" w:rsidRPr="00F308FB" w:rsidRDefault="00213E63" w:rsidP="00213E63">
            <w:pPr>
              <w:pStyle w:val="NoSpacing"/>
              <w:rPr>
                <w:rFonts w:cstheme="minorHAnsi"/>
              </w:rPr>
            </w:pPr>
          </w:p>
        </w:tc>
        <w:tc>
          <w:tcPr>
            <w:tcW w:w="810" w:type="dxa"/>
            <w:shd w:val="clear" w:color="auto" w:fill="FFFFFF" w:themeFill="background1"/>
          </w:tcPr>
          <w:p w:rsidR="00213E63" w:rsidRPr="00F308FB" w:rsidRDefault="00213E63" w:rsidP="00213E63">
            <w:pPr>
              <w:pStyle w:val="NoSpacing"/>
              <w:rPr>
                <w:rFonts w:cstheme="minorHAnsi"/>
              </w:rPr>
            </w:pPr>
            <w:r w:rsidRPr="00F308FB">
              <w:rPr>
                <w:rFonts w:cstheme="minorHAnsi"/>
              </w:rPr>
              <w:t>1965</w:t>
            </w:r>
          </w:p>
        </w:tc>
        <w:tc>
          <w:tcPr>
            <w:tcW w:w="7041" w:type="dxa"/>
          </w:tcPr>
          <w:p w:rsidR="00213E63" w:rsidRPr="00F308FB" w:rsidRDefault="00213E63" w:rsidP="00213E63">
            <w:pPr>
              <w:pStyle w:val="NoSpacing"/>
              <w:rPr>
                <w:rFonts w:cstheme="minorHAnsi"/>
              </w:rPr>
            </w:pPr>
            <w:r w:rsidRPr="00F308FB">
              <w:rPr>
                <w:rFonts w:cstheme="minorHAnsi"/>
              </w:rPr>
              <w:t xml:space="preserve">Prohibits racial discrimination in voting, such as outlawing literacy tests which were historically used to disenfranchise racial minorities </w:t>
            </w:r>
          </w:p>
        </w:tc>
      </w:tr>
      <w:tr w:rsidR="00213E63" w:rsidTr="00213E63">
        <w:trPr>
          <w:trHeight w:val="619"/>
        </w:trPr>
        <w:tc>
          <w:tcPr>
            <w:tcW w:w="2785"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Affirmative Action</w:t>
            </w:r>
          </w:p>
          <w:p w:rsidR="00213E63" w:rsidRPr="00F308FB" w:rsidRDefault="00213E63" w:rsidP="00213E63">
            <w:pPr>
              <w:pStyle w:val="NoSpacing"/>
              <w:rPr>
                <w:rFonts w:cstheme="minorHAnsi"/>
              </w:rPr>
            </w:pPr>
          </w:p>
        </w:tc>
        <w:tc>
          <w:tcPr>
            <w:tcW w:w="810" w:type="dxa"/>
            <w:shd w:val="clear" w:color="auto" w:fill="D0CECE" w:themeFill="background2" w:themeFillShade="E6"/>
          </w:tcPr>
          <w:p w:rsidR="00213E63" w:rsidRDefault="00213E63" w:rsidP="00213E63">
            <w:pPr>
              <w:pStyle w:val="NoSpacing"/>
              <w:rPr>
                <w:rFonts w:cstheme="minorHAnsi"/>
              </w:rPr>
            </w:pPr>
            <w:r w:rsidRPr="00F308FB">
              <w:rPr>
                <w:rFonts w:cstheme="minorHAnsi"/>
              </w:rPr>
              <w:t>1961 JFK</w:t>
            </w:r>
          </w:p>
          <w:p w:rsidR="00213E63" w:rsidRPr="00F308FB" w:rsidRDefault="00213E63" w:rsidP="00213E63">
            <w:pPr>
              <w:pStyle w:val="NoSpacing"/>
              <w:rPr>
                <w:rFonts w:cstheme="minorHAnsi"/>
              </w:rPr>
            </w:pPr>
          </w:p>
          <w:p w:rsidR="00213E63" w:rsidRPr="00F308FB" w:rsidRDefault="00213E63" w:rsidP="00213E63">
            <w:pPr>
              <w:pStyle w:val="NoSpacing"/>
              <w:rPr>
                <w:rFonts w:cstheme="minorHAnsi"/>
              </w:rPr>
            </w:pPr>
            <w:r w:rsidRPr="00F308FB">
              <w:rPr>
                <w:rFonts w:cstheme="minorHAnsi"/>
              </w:rPr>
              <w:t>1965 LBJ</w:t>
            </w:r>
          </w:p>
        </w:tc>
        <w:tc>
          <w:tcPr>
            <w:tcW w:w="7041"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Policy of favoring those who tend to suffer from discrimination, especially in relation to employment or education; policy that some businesses, schools, and universities use to improve the choices for people whose race, religion, or economic group might otherwise put them at a disadvantage (“positive discrimination”)</w:t>
            </w:r>
          </w:p>
        </w:tc>
      </w:tr>
      <w:tr w:rsidR="00213E63" w:rsidTr="00213E63">
        <w:trPr>
          <w:trHeight w:val="619"/>
        </w:trPr>
        <w:tc>
          <w:tcPr>
            <w:tcW w:w="2785" w:type="dxa"/>
          </w:tcPr>
          <w:p w:rsidR="00213E63" w:rsidRPr="00F308FB" w:rsidRDefault="00213E63" w:rsidP="00213E63">
            <w:pPr>
              <w:pStyle w:val="NoSpacing"/>
              <w:rPr>
                <w:rFonts w:cstheme="minorHAnsi"/>
              </w:rPr>
            </w:pPr>
            <w:r w:rsidRPr="00F308FB">
              <w:rPr>
                <w:rFonts w:cstheme="minorHAnsi"/>
              </w:rPr>
              <w:t>Title IX</w:t>
            </w:r>
          </w:p>
          <w:p w:rsidR="00213E63" w:rsidRPr="00F308FB" w:rsidRDefault="00213E63" w:rsidP="00213E63">
            <w:pPr>
              <w:pStyle w:val="NoSpacing"/>
              <w:rPr>
                <w:rFonts w:cstheme="minorHAnsi"/>
              </w:rPr>
            </w:pPr>
          </w:p>
        </w:tc>
        <w:tc>
          <w:tcPr>
            <w:tcW w:w="810" w:type="dxa"/>
            <w:shd w:val="clear" w:color="auto" w:fill="FFFFFF" w:themeFill="background1"/>
          </w:tcPr>
          <w:p w:rsidR="00213E63" w:rsidRPr="00F308FB" w:rsidRDefault="00213E63" w:rsidP="00213E63">
            <w:pPr>
              <w:pStyle w:val="NoSpacing"/>
              <w:rPr>
                <w:rFonts w:cstheme="minorHAnsi"/>
              </w:rPr>
            </w:pPr>
            <w:r w:rsidRPr="00F308FB">
              <w:rPr>
                <w:rFonts w:cstheme="minorHAnsi"/>
              </w:rPr>
              <w:t>1972</w:t>
            </w:r>
          </w:p>
        </w:tc>
        <w:tc>
          <w:tcPr>
            <w:tcW w:w="7041" w:type="dxa"/>
          </w:tcPr>
          <w:p w:rsidR="00213E63" w:rsidRPr="00F308FB" w:rsidRDefault="00213E63" w:rsidP="00213E63">
            <w:pPr>
              <w:pStyle w:val="NoSpacing"/>
              <w:rPr>
                <w:rFonts w:cstheme="minorHAnsi"/>
              </w:rPr>
            </w:pPr>
            <w:r w:rsidRPr="00F308FB">
              <w:rPr>
                <w:rFonts w:cstheme="minorHAnsi"/>
              </w:rPr>
              <w:t xml:space="preserve">Federal law that prohibits gender discrimination in any school or education program/activity receiving Federal financial assistance </w:t>
            </w:r>
          </w:p>
        </w:tc>
      </w:tr>
      <w:tr w:rsidR="00213E63" w:rsidTr="00213E63">
        <w:trPr>
          <w:trHeight w:val="422"/>
        </w:trPr>
        <w:tc>
          <w:tcPr>
            <w:tcW w:w="2785"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Plessy v. Ferguson</w:t>
            </w:r>
          </w:p>
        </w:tc>
        <w:tc>
          <w:tcPr>
            <w:tcW w:w="810"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1896</w:t>
            </w:r>
          </w:p>
        </w:tc>
        <w:tc>
          <w:tcPr>
            <w:tcW w:w="7041"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Allowed segregation in public facilities (“separate but equal”)</w:t>
            </w:r>
          </w:p>
        </w:tc>
      </w:tr>
      <w:tr w:rsidR="00213E63" w:rsidTr="00213E63">
        <w:trPr>
          <w:trHeight w:val="619"/>
        </w:trPr>
        <w:tc>
          <w:tcPr>
            <w:tcW w:w="2785" w:type="dxa"/>
          </w:tcPr>
          <w:p w:rsidR="00213E63" w:rsidRPr="00F308FB" w:rsidRDefault="00213E63" w:rsidP="00213E63">
            <w:pPr>
              <w:pStyle w:val="NoSpacing"/>
              <w:rPr>
                <w:rFonts w:cstheme="minorHAnsi"/>
              </w:rPr>
            </w:pPr>
            <w:r w:rsidRPr="00F308FB">
              <w:rPr>
                <w:rFonts w:cstheme="minorHAnsi"/>
              </w:rPr>
              <w:t>Brown v. Board of Education</w:t>
            </w:r>
          </w:p>
        </w:tc>
        <w:tc>
          <w:tcPr>
            <w:tcW w:w="810" w:type="dxa"/>
            <w:shd w:val="clear" w:color="auto" w:fill="FFFFFF" w:themeFill="background1"/>
          </w:tcPr>
          <w:p w:rsidR="00213E63" w:rsidRPr="00F308FB" w:rsidRDefault="00213E63" w:rsidP="00213E63">
            <w:pPr>
              <w:pStyle w:val="NoSpacing"/>
              <w:rPr>
                <w:rFonts w:cstheme="minorHAnsi"/>
              </w:rPr>
            </w:pPr>
            <w:r w:rsidRPr="00F308FB">
              <w:rPr>
                <w:rFonts w:cstheme="minorHAnsi"/>
              </w:rPr>
              <w:t>1954</w:t>
            </w:r>
          </w:p>
        </w:tc>
        <w:tc>
          <w:tcPr>
            <w:tcW w:w="7041" w:type="dxa"/>
          </w:tcPr>
          <w:p w:rsidR="00213E63" w:rsidRPr="00F308FB" w:rsidRDefault="00213E63" w:rsidP="00213E63">
            <w:pPr>
              <w:pStyle w:val="NoSpacing"/>
              <w:rPr>
                <w:rFonts w:cstheme="minorHAnsi"/>
              </w:rPr>
            </w:pPr>
            <w:r w:rsidRPr="00F308FB">
              <w:rPr>
                <w:rFonts w:cstheme="minorHAnsi"/>
              </w:rPr>
              <w:t>Outlawed segregation in public schools (overturned Plessy v. Ferguson case)</w:t>
            </w:r>
          </w:p>
        </w:tc>
      </w:tr>
      <w:tr w:rsidR="00213E63" w:rsidTr="00213E63">
        <w:trPr>
          <w:trHeight w:val="619"/>
        </w:trPr>
        <w:tc>
          <w:tcPr>
            <w:tcW w:w="2785"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Hernandez v. Texas</w:t>
            </w:r>
          </w:p>
        </w:tc>
        <w:tc>
          <w:tcPr>
            <w:tcW w:w="810"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1954</w:t>
            </w:r>
          </w:p>
        </w:tc>
        <w:tc>
          <w:tcPr>
            <w:tcW w:w="7041"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Mexican Americans and all other nationality groups in U.S. have equal protection under the 14</w:t>
            </w:r>
            <w:r w:rsidRPr="00F308FB">
              <w:rPr>
                <w:rFonts w:cstheme="minorHAnsi"/>
                <w:vertAlign w:val="superscript"/>
              </w:rPr>
              <w:t>th</w:t>
            </w:r>
            <w:r w:rsidRPr="00F308FB">
              <w:rPr>
                <w:rFonts w:cstheme="minorHAnsi"/>
              </w:rPr>
              <w:t xml:space="preserve"> Amendment </w:t>
            </w:r>
          </w:p>
        </w:tc>
      </w:tr>
      <w:tr w:rsidR="00213E63" w:rsidTr="00213E63">
        <w:trPr>
          <w:trHeight w:val="619"/>
        </w:trPr>
        <w:tc>
          <w:tcPr>
            <w:tcW w:w="2785" w:type="dxa"/>
          </w:tcPr>
          <w:p w:rsidR="00213E63" w:rsidRPr="00F308FB" w:rsidRDefault="00213E63" w:rsidP="00213E63">
            <w:pPr>
              <w:pStyle w:val="NoSpacing"/>
              <w:rPr>
                <w:rFonts w:cstheme="minorHAnsi"/>
              </w:rPr>
            </w:pPr>
            <w:r w:rsidRPr="00F308FB">
              <w:rPr>
                <w:rFonts w:cstheme="minorHAnsi"/>
              </w:rPr>
              <w:t>Mendez v. Westminster</w:t>
            </w:r>
          </w:p>
        </w:tc>
        <w:tc>
          <w:tcPr>
            <w:tcW w:w="810" w:type="dxa"/>
            <w:shd w:val="clear" w:color="auto" w:fill="FFFFFF" w:themeFill="background1"/>
          </w:tcPr>
          <w:p w:rsidR="00213E63" w:rsidRPr="00F308FB" w:rsidRDefault="00213E63" w:rsidP="00213E63">
            <w:pPr>
              <w:pStyle w:val="NoSpacing"/>
              <w:rPr>
                <w:rFonts w:cstheme="minorHAnsi"/>
              </w:rPr>
            </w:pPr>
            <w:r w:rsidRPr="00F308FB">
              <w:rPr>
                <w:rFonts w:cstheme="minorHAnsi"/>
              </w:rPr>
              <w:t>1947</w:t>
            </w:r>
          </w:p>
        </w:tc>
        <w:tc>
          <w:tcPr>
            <w:tcW w:w="7041" w:type="dxa"/>
          </w:tcPr>
          <w:p w:rsidR="00213E63" w:rsidRPr="00F308FB" w:rsidRDefault="00213E63" w:rsidP="00213E63">
            <w:pPr>
              <w:pStyle w:val="NoSpacing"/>
              <w:rPr>
                <w:rFonts w:cstheme="minorHAnsi"/>
              </w:rPr>
            </w:pPr>
            <w:r w:rsidRPr="00F308FB">
              <w:rPr>
                <w:rFonts w:cstheme="minorHAnsi"/>
              </w:rPr>
              <w:t xml:space="preserve">Forced segregation of Mexican American students into separate “Mexican schools” was </w:t>
            </w:r>
            <w:r w:rsidR="00A8076A" w:rsidRPr="00F308FB">
              <w:rPr>
                <w:rFonts w:cstheme="minorHAnsi"/>
              </w:rPr>
              <w:t>unconstitutional</w:t>
            </w:r>
            <w:r w:rsidRPr="00F308FB">
              <w:rPr>
                <w:rFonts w:cstheme="minorHAnsi"/>
              </w:rPr>
              <w:t xml:space="preserve"> and unlawful</w:t>
            </w:r>
          </w:p>
        </w:tc>
      </w:tr>
      <w:tr w:rsidR="00213E63" w:rsidTr="00213E63">
        <w:trPr>
          <w:trHeight w:val="619"/>
        </w:trPr>
        <w:tc>
          <w:tcPr>
            <w:tcW w:w="2785"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Sweatt v. Painter</w:t>
            </w:r>
          </w:p>
        </w:tc>
        <w:tc>
          <w:tcPr>
            <w:tcW w:w="810"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1950</w:t>
            </w:r>
          </w:p>
        </w:tc>
        <w:tc>
          <w:tcPr>
            <w:tcW w:w="7041" w:type="dxa"/>
            <w:shd w:val="clear" w:color="auto" w:fill="D0CECE" w:themeFill="background2" w:themeFillShade="E6"/>
          </w:tcPr>
          <w:p w:rsidR="00213E63" w:rsidRPr="00F308FB" w:rsidRDefault="00213E63" w:rsidP="00213E63">
            <w:pPr>
              <w:pStyle w:val="NoSpacing"/>
              <w:rPr>
                <w:rFonts w:cstheme="minorHAnsi"/>
              </w:rPr>
            </w:pPr>
            <w:r w:rsidRPr="00F308FB">
              <w:rPr>
                <w:rFonts w:cstheme="minorHAnsi"/>
              </w:rPr>
              <w:t>Successfully challenged the “separate but equal” doctrine of racial segregation established by the 1896 case Plessy v. Ferguson. The case was influential in the landmark case of Brown v. Board of Ed</w:t>
            </w:r>
            <w:r>
              <w:rPr>
                <w:rFonts w:cstheme="minorHAnsi"/>
              </w:rPr>
              <w:t>u.</w:t>
            </w:r>
            <w:r w:rsidRPr="00F308FB">
              <w:rPr>
                <w:rFonts w:cstheme="minorHAnsi"/>
              </w:rPr>
              <w:t xml:space="preserve"> </w:t>
            </w:r>
            <w:r>
              <w:rPr>
                <w:rFonts w:cstheme="minorHAnsi"/>
              </w:rPr>
              <w:t>4</w:t>
            </w:r>
            <w:r w:rsidRPr="00F308FB">
              <w:rPr>
                <w:rFonts w:cstheme="minorHAnsi"/>
              </w:rPr>
              <w:t xml:space="preserve"> years later</w:t>
            </w:r>
          </w:p>
        </w:tc>
      </w:tr>
      <w:tr w:rsidR="00213E63" w:rsidTr="00213E63">
        <w:trPr>
          <w:trHeight w:val="619"/>
        </w:trPr>
        <w:tc>
          <w:tcPr>
            <w:tcW w:w="2785" w:type="dxa"/>
          </w:tcPr>
          <w:p w:rsidR="00213E63" w:rsidRPr="00F308FB" w:rsidRDefault="00213E63" w:rsidP="00213E63">
            <w:pPr>
              <w:pStyle w:val="NoSpacing"/>
              <w:rPr>
                <w:rFonts w:cstheme="minorHAnsi"/>
              </w:rPr>
            </w:pPr>
            <w:r w:rsidRPr="00F308FB">
              <w:rPr>
                <w:rFonts w:cstheme="minorHAnsi"/>
              </w:rPr>
              <w:t>Tinker v. Des Moines</w:t>
            </w:r>
          </w:p>
        </w:tc>
        <w:tc>
          <w:tcPr>
            <w:tcW w:w="810" w:type="dxa"/>
            <w:shd w:val="clear" w:color="auto" w:fill="FFFFFF" w:themeFill="background1"/>
          </w:tcPr>
          <w:p w:rsidR="00213E63" w:rsidRPr="00F308FB" w:rsidRDefault="00213E63" w:rsidP="00213E63">
            <w:pPr>
              <w:pStyle w:val="NoSpacing"/>
              <w:rPr>
                <w:rFonts w:cstheme="minorHAnsi"/>
              </w:rPr>
            </w:pPr>
            <w:r w:rsidRPr="00F308FB">
              <w:rPr>
                <w:rFonts w:cstheme="minorHAnsi"/>
              </w:rPr>
              <w:t>1969</w:t>
            </w:r>
          </w:p>
        </w:tc>
        <w:tc>
          <w:tcPr>
            <w:tcW w:w="7041" w:type="dxa"/>
          </w:tcPr>
          <w:p w:rsidR="00213E63" w:rsidRPr="00F308FB" w:rsidRDefault="00213E63" w:rsidP="00213E63">
            <w:pPr>
              <w:pStyle w:val="NoSpacing"/>
              <w:rPr>
                <w:rFonts w:cstheme="minorHAnsi"/>
              </w:rPr>
            </w:pPr>
            <w:r w:rsidRPr="00F308FB">
              <w:rPr>
                <w:rFonts w:cstheme="minorHAnsi"/>
              </w:rPr>
              <w:t>Defined the constitutional rights of students in public schools and whether a school’s disciplinary action violates student’s 1</w:t>
            </w:r>
            <w:r w:rsidRPr="00F308FB">
              <w:rPr>
                <w:rFonts w:cstheme="minorHAnsi"/>
                <w:vertAlign w:val="superscript"/>
              </w:rPr>
              <w:t>st</w:t>
            </w:r>
            <w:r w:rsidRPr="00F308FB">
              <w:rPr>
                <w:rFonts w:cstheme="minorHAnsi"/>
              </w:rPr>
              <w:t xml:space="preserve"> Amendment rights </w:t>
            </w:r>
          </w:p>
        </w:tc>
      </w:tr>
      <w:tr w:rsidR="00213E63" w:rsidTr="00213E63">
        <w:trPr>
          <w:trHeight w:val="619"/>
        </w:trPr>
        <w:tc>
          <w:tcPr>
            <w:tcW w:w="2785" w:type="dxa"/>
            <w:shd w:val="clear" w:color="auto" w:fill="D0CECE" w:themeFill="background2" w:themeFillShade="E6"/>
          </w:tcPr>
          <w:p w:rsidR="00213E63" w:rsidRPr="00F308FB" w:rsidRDefault="00213E63" w:rsidP="00213E63">
            <w:pPr>
              <w:pStyle w:val="NoSpacing"/>
              <w:rPr>
                <w:rFonts w:cstheme="minorHAnsi"/>
              </w:rPr>
            </w:pPr>
            <w:r>
              <w:rPr>
                <w:rFonts w:cstheme="minorHAnsi"/>
              </w:rPr>
              <w:t xml:space="preserve">Roe v. Wade </w:t>
            </w:r>
          </w:p>
        </w:tc>
        <w:tc>
          <w:tcPr>
            <w:tcW w:w="810" w:type="dxa"/>
            <w:shd w:val="clear" w:color="auto" w:fill="D0CECE" w:themeFill="background2" w:themeFillShade="E6"/>
          </w:tcPr>
          <w:p w:rsidR="00213E63" w:rsidRPr="00F308FB" w:rsidRDefault="00213E63" w:rsidP="00213E63">
            <w:pPr>
              <w:pStyle w:val="NoSpacing"/>
              <w:rPr>
                <w:rFonts w:cstheme="minorHAnsi"/>
              </w:rPr>
            </w:pPr>
            <w:r>
              <w:rPr>
                <w:rFonts w:cstheme="minorHAnsi"/>
              </w:rPr>
              <w:t>1973</w:t>
            </w:r>
          </w:p>
        </w:tc>
        <w:tc>
          <w:tcPr>
            <w:tcW w:w="7041" w:type="dxa"/>
            <w:shd w:val="clear" w:color="auto" w:fill="D0CECE" w:themeFill="background2" w:themeFillShade="E6"/>
          </w:tcPr>
          <w:p w:rsidR="00213E63" w:rsidRPr="00F308FB" w:rsidRDefault="00213E63" w:rsidP="00213E63">
            <w:pPr>
              <w:pStyle w:val="NoSpacing"/>
              <w:rPr>
                <w:rFonts w:cstheme="minorHAnsi"/>
              </w:rPr>
            </w:pPr>
            <w:r>
              <w:rPr>
                <w:rFonts w:cstheme="minorHAnsi"/>
              </w:rPr>
              <w:t>Legalized abortions in U.S.; Supreme Court ruled 7-2 that a right to privacy under the Due Process Clause of the 14</w:t>
            </w:r>
            <w:r w:rsidRPr="00755909">
              <w:rPr>
                <w:rFonts w:cstheme="minorHAnsi"/>
                <w:vertAlign w:val="superscript"/>
              </w:rPr>
              <w:t>th</w:t>
            </w:r>
            <w:r>
              <w:rPr>
                <w:rFonts w:cstheme="minorHAnsi"/>
              </w:rPr>
              <w:t xml:space="preserve"> Amendment extended to a woman’s decision to have an abortion (states regulate though)</w:t>
            </w:r>
          </w:p>
        </w:tc>
      </w:tr>
      <w:tr w:rsidR="00213E63" w:rsidTr="00213E63">
        <w:trPr>
          <w:trHeight w:val="619"/>
        </w:trPr>
        <w:tc>
          <w:tcPr>
            <w:tcW w:w="2785" w:type="dxa"/>
          </w:tcPr>
          <w:p w:rsidR="00213E63" w:rsidRPr="00F308FB" w:rsidRDefault="00213E63" w:rsidP="00213E63">
            <w:pPr>
              <w:pStyle w:val="NoSpacing"/>
              <w:rPr>
                <w:rFonts w:cstheme="minorHAnsi"/>
              </w:rPr>
            </w:pPr>
            <w:r w:rsidRPr="00F308FB">
              <w:rPr>
                <w:rFonts w:cstheme="minorHAnsi"/>
              </w:rPr>
              <w:t>Wisconsin v. Yoder</w:t>
            </w:r>
          </w:p>
        </w:tc>
        <w:tc>
          <w:tcPr>
            <w:tcW w:w="810" w:type="dxa"/>
            <w:shd w:val="clear" w:color="auto" w:fill="FFFFFF" w:themeFill="background1"/>
          </w:tcPr>
          <w:p w:rsidR="00213E63" w:rsidRPr="00F308FB" w:rsidRDefault="00213E63" w:rsidP="00213E63">
            <w:pPr>
              <w:pStyle w:val="NoSpacing"/>
              <w:rPr>
                <w:rFonts w:cstheme="minorHAnsi"/>
              </w:rPr>
            </w:pPr>
            <w:r w:rsidRPr="00F308FB">
              <w:rPr>
                <w:rFonts w:cstheme="minorHAnsi"/>
              </w:rPr>
              <w:t>1972</w:t>
            </w:r>
          </w:p>
        </w:tc>
        <w:tc>
          <w:tcPr>
            <w:tcW w:w="7041" w:type="dxa"/>
          </w:tcPr>
          <w:p w:rsidR="00213E63" w:rsidRPr="00F308FB" w:rsidRDefault="00213E63" w:rsidP="00213E63">
            <w:pPr>
              <w:pStyle w:val="NoSpacing"/>
              <w:rPr>
                <w:rFonts w:cstheme="minorHAnsi"/>
              </w:rPr>
            </w:pPr>
            <w:r w:rsidRPr="00F308FB">
              <w:rPr>
                <w:rFonts w:cstheme="minorHAnsi"/>
              </w:rPr>
              <w:t xml:space="preserve">Amish </w:t>
            </w:r>
            <w:r w:rsidRPr="00F308FB">
              <w:rPr>
                <w:rFonts w:cstheme="minorHAnsi"/>
                <w:color w:val="222222"/>
                <w:shd w:val="clear" w:color="auto" w:fill="FFFFFF"/>
              </w:rPr>
              <w:t>children could not be place in compulsory education past 8</w:t>
            </w:r>
            <w:r w:rsidRPr="00F308FB">
              <w:rPr>
                <w:rFonts w:cstheme="minorHAnsi"/>
                <w:color w:val="222222"/>
                <w:shd w:val="clear" w:color="auto" w:fill="FFFFFF"/>
                <w:vertAlign w:val="superscript"/>
              </w:rPr>
              <w:t>th</w:t>
            </w:r>
            <w:r w:rsidRPr="00F308FB">
              <w:rPr>
                <w:rFonts w:cstheme="minorHAnsi"/>
                <w:color w:val="222222"/>
                <w:shd w:val="clear" w:color="auto" w:fill="FFFFFF"/>
              </w:rPr>
              <w:t xml:space="preserve"> grade. The parents' fundamental right of freedom of religion was determined to outweigh the state's interest in educating its children. The case is often cited as a basis for </w:t>
            </w:r>
            <w:r w:rsidRPr="00F308FB">
              <w:rPr>
                <w:rFonts w:cstheme="minorHAnsi"/>
                <w:shd w:val="clear" w:color="auto" w:fill="FFFFFF"/>
              </w:rPr>
              <w:t xml:space="preserve">parents’ right to educate </w:t>
            </w:r>
            <w:r w:rsidRPr="00F308FB">
              <w:rPr>
                <w:rFonts w:cstheme="minorHAnsi"/>
                <w:color w:val="222222"/>
                <w:shd w:val="clear" w:color="auto" w:fill="FFFFFF"/>
              </w:rPr>
              <w:t>outside of traditional private or public schools.</w:t>
            </w:r>
          </w:p>
        </w:tc>
      </w:tr>
      <w:tr w:rsidR="00213E63" w:rsidTr="00213E63">
        <w:trPr>
          <w:trHeight w:val="619"/>
        </w:trPr>
        <w:tc>
          <w:tcPr>
            <w:tcW w:w="2785" w:type="dxa"/>
            <w:shd w:val="clear" w:color="auto" w:fill="D0CECE" w:themeFill="background2" w:themeFillShade="E6"/>
          </w:tcPr>
          <w:p w:rsidR="00213E63" w:rsidRPr="00F308FB" w:rsidRDefault="00213E63" w:rsidP="00213E63">
            <w:pPr>
              <w:pStyle w:val="NoSpacing"/>
              <w:rPr>
                <w:rFonts w:cstheme="minorHAnsi"/>
              </w:rPr>
            </w:pPr>
            <w:r>
              <w:rPr>
                <w:rFonts w:cstheme="minorHAnsi"/>
              </w:rPr>
              <w:t>Obergefell v. Hodges</w:t>
            </w:r>
          </w:p>
        </w:tc>
        <w:tc>
          <w:tcPr>
            <w:tcW w:w="810" w:type="dxa"/>
            <w:shd w:val="clear" w:color="auto" w:fill="D0CECE" w:themeFill="background2" w:themeFillShade="E6"/>
          </w:tcPr>
          <w:p w:rsidR="00213E63" w:rsidRPr="00F308FB" w:rsidRDefault="00213E63" w:rsidP="00213E63">
            <w:pPr>
              <w:pStyle w:val="NoSpacing"/>
              <w:rPr>
                <w:rFonts w:cstheme="minorHAnsi"/>
              </w:rPr>
            </w:pPr>
            <w:r>
              <w:rPr>
                <w:rFonts w:cstheme="minorHAnsi"/>
              </w:rPr>
              <w:t>2015</w:t>
            </w:r>
          </w:p>
        </w:tc>
        <w:tc>
          <w:tcPr>
            <w:tcW w:w="7041" w:type="dxa"/>
            <w:shd w:val="clear" w:color="auto" w:fill="D0CECE" w:themeFill="background2" w:themeFillShade="E6"/>
          </w:tcPr>
          <w:p w:rsidR="00213E63" w:rsidRPr="00F308FB" w:rsidRDefault="00213E63" w:rsidP="00213E63">
            <w:pPr>
              <w:pStyle w:val="NoSpacing"/>
              <w:rPr>
                <w:rFonts w:cstheme="minorHAnsi"/>
              </w:rPr>
            </w:pPr>
            <w:r>
              <w:rPr>
                <w:rFonts w:cstheme="minorHAnsi"/>
              </w:rPr>
              <w:t>Legalized gay marriage in all 50 states; ruled the fundamental right to marry is guaranteed to same-sex couples in the 14</w:t>
            </w:r>
            <w:r w:rsidRPr="004F5C1D">
              <w:rPr>
                <w:rFonts w:cstheme="minorHAnsi"/>
                <w:vertAlign w:val="superscript"/>
              </w:rPr>
              <w:t>th</w:t>
            </w:r>
            <w:r>
              <w:rPr>
                <w:rFonts w:cstheme="minorHAnsi"/>
              </w:rPr>
              <w:t xml:space="preserve"> amendment </w:t>
            </w:r>
          </w:p>
        </w:tc>
      </w:tr>
    </w:tbl>
    <w:p w:rsidR="001C59C1" w:rsidRDefault="001C59C1"/>
    <w:sectPr w:rsidR="001C59C1" w:rsidSect="00213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63"/>
    <w:rsid w:val="00041B03"/>
    <w:rsid w:val="001C59C1"/>
    <w:rsid w:val="00213E63"/>
    <w:rsid w:val="00294A5E"/>
    <w:rsid w:val="006B74AD"/>
    <w:rsid w:val="00A8076A"/>
    <w:rsid w:val="00AC49D5"/>
    <w:rsid w:val="00E3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F3D7"/>
  <w15:chartTrackingRefBased/>
  <w15:docId w15:val="{255C60C3-0D1B-4502-810A-553F55C1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E63"/>
    <w:pPr>
      <w:spacing w:after="0" w:line="240" w:lineRule="auto"/>
    </w:pPr>
  </w:style>
  <w:style w:type="table" w:styleId="TableGrid">
    <w:name w:val="Table Grid"/>
    <w:basedOn w:val="TableNormal"/>
    <w:uiPriority w:val="39"/>
    <w:rsid w:val="0021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2574</Characters>
  <Application>Microsoft Office Word</Application>
  <DocSecurity>0</DocSecurity>
  <Lines>64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2</cp:revision>
  <dcterms:created xsi:type="dcterms:W3CDTF">2018-01-26T11:33:00Z</dcterms:created>
  <dcterms:modified xsi:type="dcterms:W3CDTF">2018-01-26T11:35:00Z</dcterms:modified>
</cp:coreProperties>
</file>